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E" w:rsidRDefault="009B4683" w:rsidP="00185EA2">
      <w:pPr>
        <w:spacing w:after="0" w:line="240" w:lineRule="auto"/>
        <w:rPr>
          <w:rFonts w:ascii="Arial" w:hAnsi="Arial" w:cs="Arial"/>
        </w:rPr>
      </w:pPr>
      <w:r w:rsidRPr="00544D8D">
        <w:rPr>
          <w:rFonts w:ascii="Arial" w:hAnsi="Arial" w:cs="Arial"/>
        </w:rPr>
        <w:t>ROBERT MILLS GAGNE</w:t>
      </w:r>
    </w:p>
    <w:p w:rsidR="006F1FC5" w:rsidRPr="00544D8D" w:rsidRDefault="006F1FC5" w:rsidP="0018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62626" w:themeColor="text1" w:themeTint="D9"/>
        </w:rPr>
        <w:t>P</w:t>
      </w:r>
      <w:r w:rsidRPr="00FE3A4F">
        <w:rPr>
          <w:rFonts w:ascii="Arial" w:hAnsi="Arial" w:cs="Arial"/>
          <w:color w:val="262626" w:themeColor="text1" w:themeTint="D9"/>
        </w:rPr>
        <w:t>sychologue de l’éducation a</w:t>
      </w:r>
      <w:r>
        <w:rPr>
          <w:rFonts w:ascii="Arial" w:hAnsi="Arial" w:cs="Arial"/>
          <w:color w:val="262626" w:themeColor="text1" w:themeTint="D9"/>
        </w:rPr>
        <w:t>méricain.</w:t>
      </w:r>
    </w:p>
    <w:p w:rsidR="009B4683" w:rsidRDefault="009B4683" w:rsidP="00185EA2">
      <w:pPr>
        <w:spacing w:after="0" w:line="240" w:lineRule="auto"/>
        <w:rPr>
          <w:rFonts w:ascii="Arial" w:hAnsi="Arial" w:cs="Arial"/>
        </w:rPr>
      </w:pPr>
    </w:p>
    <w:p w:rsidR="00AE2B61" w:rsidRPr="00AE2B61" w:rsidRDefault="00AE2B61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  <w:r w:rsidRPr="00AE2B61">
        <w:rPr>
          <w:rFonts w:ascii="Arial" w:hAnsi="Arial" w:cs="Arial"/>
          <w:b/>
          <w:color w:val="385623" w:themeColor="accent6" w:themeShade="80"/>
        </w:rPr>
        <w:t>LES CATEGORIES D’APPRENTISSAGE</w:t>
      </w:r>
    </w:p>
    <w:p w:rsidR="00AE2B61" w:rsidRPr="00544D8D" w:rsidRDefault="00AE2B61" w:rsidP="00185EA2">
      <w:pPr>
        <w:spacing w:after="0" w:line="240" w:lineRule="auto"/>
        <w:rPr>
          <w:rFonts w:ascii="Arial" w:hAnsi="Arial" w:cs="Arial"/>
        </w:rPr>
      </w:pPr>
    </w:p>
    <w:tbl>
      <w:tblPr>
        <w:tblStyle w:val="Grilledetableauclaire1"/>
        <w:tblW w:w="0" w:type="auto"/>
        <w:jc w:val="center"/>
        <w:tblLook w:val="04A0"/>
      </w:tblPr>
      <w:tblGrid>
        <w:gridCol w:w="3829"/>
        <w:gridCol w:w="5947"/>
      </w:tblGrid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i</w:t>
            </w:r>
            <w:r w:rsidR="00544D8D" w:rsidRPr="00544D8D">
              <w:rPr>
                <w:rFonts w:ascii="Arial" w:hAnsi="Arial" w:cs="Arial"/>
                <w:b/>
              </w:rPr>
              <w:t>nformations verbales</w:t>
            </w:r>
          </w:p>
          <w:p w:rsidR="00544D8D" w:rsidRP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</w:rPr>
            </w:pPr>
            <w:r w:rsidRPr="00544D8D">
              <w:rPr>
                <w:rFonts w:ascii="Arial" w:hAnsi="Arial" w:cs="Arial"/>
                <w:i/>
              </w:rPr>
              <w:t xml:space="preserve">Le </w:t>
            </w:r>
            <w:r w:rsidR="009A04EF">
              <w:rPr>
                <w:rFonts w:ascii="Arial" w:hAnsi="Arial" w:cs="Arial"/>
                <w:i/>
              </w:rPr>
              <w:t>“</w:t>
            </w:r>
            <w:r w:rsidRPr="00544D8D">
              <w:rPr>
                <w:rFonts w:ascii="Arial" w:hAnsi="Arial" w:cs="Arial"/>
                <w:i/>
              </w:rPr>
              <w:t>savoir</w:t>
            </w:r>
            <w:r w:rsidR="009A04EF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5947" w:type="dxa"/>
          </w:tcPr>
          <w:p w:rsidR="00544D8D" w:rsidRP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>= connaissance du monde et des peuples.</w:t>
            </w:r>
          </w:p>
          <w:p w:rsid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3 types : 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noms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faits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et 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corps de connaissances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>.</w:t>
            </w:r>
          </w:p>
          <w:p w:rsid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3 fonctions :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préalable à d’autres apprentissages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pratique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« véhicule » de la pensée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.</w:t>
            </w:r>
          </w:p>
          <w:p w:rsidR="00544D8D" w:rsidRP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="00544D8D"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habiletés intellectuelles</w:t>
            </w:r>
          </w:p>
          <w:p w:rsidR="009A04EF" w:rsidRPr="009A04EF" w:rsidRDefault="009A04EF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 xml:space="preserve">Le </w:t>
            </w:r>
            <w:r w:rsidRPr="009A04EF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« comment savoir »</w:t>
            </w:r>
          </w:p>
        </w:tc>
        <w:tc>
          <w:tcPr>
            <w:tcW w:w="5947" w:type="dxa"/>
          </w:tcPr>
          <w:p w:rsidR="00544D8D" w:rsidRDefault="003A5E35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5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catégories 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hierarchisées : </w:t>
            </w:r>
            <w:r w:rsidRPr="00544D8D">
              <w:rPr>
                <w:rFonts w:ascii="Arial" w:hAnsi="Arial" w:cs="Arial"/>
              </w:rPr>
              <w:t>Apprentissages simples</w:t>
            </w:r>
            <w:r>
              <w:rPr>
                <w:rFonts w:ascii="Arial" w:hAnsi="Arial" w:cs="Arial"/>
              </w:rPr>
              <w:t xml:space="preserve"> &gt; discriminations &gt; concepts &gt; règles &gt; règles d’ordre supérieur.</w:t>
            </w:r>
          </w:p>
          <w:p w:rsidR="00B50E06" w:rsidRPr="00544D8D" w:rsidRDefault="00B50E06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="00B50E06"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stratégies cognitives</w:t>
            </w:r>
          </w:p>
          <w:p w:rsidR="00BA1C61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</w:pPr>
            <w:r w:rsidRPr="00BA1C61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« apprendre à apprendre »</w:t>
            </w:r>
          </w:p>
          <w:p w:rsidR="00C762F8" w:rsidRPr="00BA1C61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947" w:type="dxa"/>
          </w:tcPr>
          <w:p w:rsidR="00544D8D" w:rsidRPr="00544D8D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techniques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utilisées pour orienter son attention, son apprentissage, sa rétention et sa pensée.</w:t>
            </w: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attitudes</w:t>
            </w:r>
          </w:p>
          <w:p w:rsidR="00BA1C61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</w:pPr>
            <w:r w:rsidRPr="00BA1C61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Les valeurs</w:t>
            </w:r>
          </w:p>
          <w:p w:rsidR="00C762F8" w:rsidRPr="00BA1C61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947" w:type="dxa"/>
          </w:tcPr>
          <w:p w:rsidR="00544D8D" w:rsidRPr="00544D8D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catégories : les comportements sociaux, les préférences pour certaines activités et la citoyenneté.</w:t>
            </w: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Pr="00544D8D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 w:rsidRPr="00C762F8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Les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habiletés motrices</w:t>
            </w:r>
          </w:p>
        </w:tc>
        <w:tc>
          <w:tcPr>
            <w:tcW w:w="5947" w:type="dxa"/>
          </w:tcPr>
          <w:p w:rsidR="00544D8D" w:rsidRPr="00544D8D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une classe de produits d’apprentissage distincte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reli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é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s directement à des activités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(conduire une voiture, jouer de la flûte)</w:t>
            </w:r>
          </w:p>
        </w:tc>
      </w:tr>
    </w:tbl>
    <w:p w:rsidR="009B4683" w:rsidRPr="00544D8D" w:rsidRDefault="009B4683" w:rsidP="00185EA2">
      <w:pPr>
        <w:spacing w:after="0" w:line="240" w:lineRule="auto"/>
        <w:rPr>
          <w:rFonts w:ascii="Arial" w:hAnsi="Arial" w:cs="Arial"/>
        </w:rPr>
      </w:pPr>
    </w:p>
    <w:p w:rsidR="009B4683" w:rsidRPr="00544D8D" w:rsidRDefault="009B4683" w:rsidP="00185EA2">
      <w:pPr>
        <w:spacing w:after="0" w:line="240" w:lineRule="auto"/>
        <w:rPr>
          <w:rFonts w:ascii="Arial" w:hAnsi="Arial" w:cs="Arial"/>
        </w:rPr>
      </w:pPr>
    </w:p>
    <w:p w:rsidR="009B4683" w:rsidRDefault="00AE2B61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  <w:r w:rsidRPr="00AE2B61">
        <w:rPr>
          <w:rFonts w:ascii="Arial" w:hAnsi="Arial" w:cs="Arial"/>
          <w:b/>
          <w:color w:val="385623" w:themeColor="accent6" w:themeShade="80"/>
        </w:rPr>
        <w:t>LE TRAITEMENT DE L’INFORMATION</w:t>
      </w:r>
    </w:p>
    <w:p w:rsidR="00013020" w:rsidRPr="00AE2B61" w:rsidRDefault="00013020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</w:p>
    <w:p w:rsidR="00013020" w:rsidRDefault="00AE2B61" w:rsidP="00185EA2">
      <w:pPr>
        <w:spacing w:after="0" w:line="240" w:lineRule="auto"/>
        <w:jc w:val="center"/>
        <w:rPr>
          <w:rFonts w:ascii="Arial" w:hAnsi="Arial" w:cs="Arial"/>
        </w:rPr>
      </w:pPr>
      <w:r w:rsidRPr="00B745D2">
        <w:rPr>
          <w:rFonts w:ascii="Arial" w:hAnsi="Arial" w:cs="Arial"/>
          <w:noProof/>
          <w:lang w:eastAsia="fr-FR"/>
        </w:rPr>
        <w:drawing>
          <wp:inline distT="0" distB="0" distL="0" distR="0">
            <wp:extent cx="6334125" cy="4043936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649" cy="40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LES CATEGORIES D’APPRENTISSAGE : DU + COMPLEXE AU + SIMPLE</w:t>
      </w:r>
    </w:p>
    <w:p w:rsidR="00013020" w:rsidRDefault="00013020" w:rsidP="00185EA2">
      <w:pPr>
        <w:spacing w:after="0" w:line="240" w:lineRule="auto"/>
        <w:rPr>
          <w:rFonts w:ascii="Arial" w:hAnsi="Arial" w:cs="Arial"/>
        </w:rPr>
      </w:pPr>
    </w:p>
    <w:p w:rsidR="00AE2B61" w:rsidRDefault="00AE2B61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</w:p>
    <w:tbl>
      <w:tblPr>
        <w:tblW w:w="10028" w:type="dxa"/>
        <w:jc w:val="center"/>
        <w:tblCellMar>
          <w:left w:w="0" w:type="dxa"/>
          <w:right w:w="0" w:type="dxa"/>
        </w:tblCellMar>
        <w:tblLook w:val="04A0"/>
      </w:tblPr>
      <w:tblGrid>
        <w:gridCol w:w="704"/>
        <w:gridCol w:w="9324"/>
      </w:tblGrid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lastRenderedPageBreak/>
              <w:t>8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résolution de problèmes: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soit l’association à un niveau supérieur de 2 ou plus principes de niveau inférieur en vue d’atteindre un objectif défini.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de règles ou principes 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connaissances des liens entre 2 ou plus concepts conformément à des critères logiques.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d’un concept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permet de classifier en termes de caractéristiques abstraite de représentation de la réalité. 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apprentissage d’une discrimination multiple : 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repérer, nommer et différencier plusieurs éléments. </w:t>
            </w:r>
          </w:p>
        </w:tc>
      </w:tr>
      <w:tr w:rsidR="00013020" w:rsidRPr="004C1C85" w:rsidTr="004C1C85">
        <w:trPr>
          <w:trHeight w:hRule="exact" w:val="590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de chaînes verbales: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enchainement de lettres ou de mots.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de chaînes motrices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enchainement de mouvements dans un but donné. Exemple : lacer ses chaussures.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de connexion stimulus-réponse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réponse volontaire, sélective et spécifique à un stimulus en particulier.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apprendre à réagir à des signaux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correspond au conditionnement ou à l’apprentissage involontaire. </w:t>
            </w:r>
          </w:p>
        </w:tc>
      </w:tr>
    </w:tbl>
    <w:p w:rsidR="00013020" w:rsidRDefault="00013020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26"/>
        <w:tblW w:w="4990" w:type="pct"/>
        <w:tblCellMar>
          <w:left w:w="0" w:type="dxa"/>
          <w:right w:w="0" w:type="dxa"/>
        </w:tblCellMar>
        <w:tblLook w:val="04A0"/>
      </w:tblPr>
      <w:tblGrid>
        <w:gridCol w:w="422"/>
        <w:gridCol w:w="6210"/>
        <w:gridCol w:w="3709"/>
        <w:gridCol w:w="256"/>
      </w:tblGrid>
      <w:tr w:rsidR="004C1C85" w:rsidRPr="00FE3A4F" w:rsidTr="004C1C85">
        <w:trPr>
          <w:trHeight w:hRule="exact" w:val="524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Phases d'apprentissage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Evénement d'enseignement</w:t>
            </w:r>
          </w:p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4C1C85">
        <w:trPr>
          <w:trHeight w:hRule="exact" w:val="524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d'expectative</w:t>
            </w: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l’apprenant se représente ce que l’apprentissage permettra de faire.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Susciter l'intérêt de l’apprenant. </w:t>
            </w:r>
          </w:p>
        </w:tc>
        <w:tc>
          <w:tcPr>
            <w:tcW w:w="1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 de motivation</w:t>
            </w:r>
          </w:p>
        </w:tc>
      </w:tr>
      <w:tr w:rsidR="004C1C85" w:rsidRPr="00FE3A4F" w:rsidTr="004C1C85">
        <w:trPr>
          <w:trHeight w:hRule="exact" w:val="531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Annoncer les objectifs d’apprentissage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4C1C85">
        <w:trPr>
          <w:trHeight w:hRule="exact" w:val="524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Attention selective+Perception 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phase durant l’apprenant va focaliser son attention sur l’objet d’apprentissage.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Rappeler les connaissances antérieures en lien avec l’apprentissage à venir. 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4C1C85">
        <w:trPr>
          <w:trHeight w:hRule="exact" w:val="699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Codification: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l’apprenant transforme les informations qu’il reçoit de façon à ce qu’elles soient plus facilment mémorisables.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Présentation du contenu à apprendre. </w:t>
            </w:r>
          </w:p>
        </w:tc>
        <w:tc>
          <w:tcPr>
            <w:tcW w:w="1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Phase d’acquisition </w:t>
            </w:r>
          </w:p>
        </w:tc>
      </w:tr>
      <w:tr w:rsidR="004C1C85" w:rsidRPr="001E7FB3" w:rsidTr="004C1C85">
        <w:trPr>
          <w:trHeight w:hRule="exact" w:val="728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Mémorisation 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Stockage de l’information en mémoire.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Proposer une organisation du contenu qui favorise la mémorisation/guider l'apprenant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4C1C85">
        <w:trPr>
          <w:trHeight w:hRule="exact" w:val="835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Repérage/ retrait: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l’apprenant va récupérer en mémoire les informations qu’il a stockées.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Provoquer une action qui nécessite de mobiliser les connaissances travaillées. 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4C1C85">
        <w:trPr>
          <w:trHeight w:hRule="exact" w:val="884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85EA2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Réponse: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constitue la preuve qu’un apprentissage s’est produit car elle atteste une modification du comportement consécutif à l’apprentissage.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Exercices d'application. </w:t>
            </w:r>
          </w:p>
        </w:tc>
        <w:tc>
          <w:tcPr>
            <w:tcW w:w="1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 de performance</w:t>
            </w:r>
          </w:p>
        </w:tc>
      </w:tr>
      <w:tr w:rsidR="004C1C85" w:rsidRPr="001E7FB3" w:rsidTr="004C1C85">
        <w:trPr>
          <w:trHeight w:hRule="exact" w:val="1125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Renforcement: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phase durant laquelle le retour de l’environnement va renforcer l’apprentissage ou au contraire faire que ce dernier ne sera pas stabilisé chez l’apprenant.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Commentaires et conseils sur la performance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4C1C85">
        <w:trPr>
          <w:trHeight w:hRule="exact" w:val="846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C6A6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Généralisation/ Transfert: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rappel de ce qui a été appris et application à des contextes nouveaux et différents de ceux dans lesquels l’apprentissage a été réalisé. </w:t>
            </w: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gfg</w:t>
            </w: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A2" w:rsidRPr="008C6A63" w:rsidRDefault="008C6A63" w:rsidP="008C6A63">
            <w:pPr>
              <w:tabs>
                <w:tab w:val="left" w:pos="3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Proposer une situation de transfert</w:t>
            </w:r>
          </w:p>
        </w:tc>
        <w:tc>
          <w:tcPr>
            <w:tcW w:w="1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8C6A63" w:rsidRDefault="008C6A63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</w:p>
    <w:p w:rsidR="008C6A63" w:rsidRPr="00013020" w:rsidRDefault="008C6A63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voir un cas concret de la théorie de Gagné, </w:t>
      </w:r>
      <w:hyperlink r:id="rId5" w:history="1">
        <w:r w:rsidRPr="007F156F">
          <w:rPr>
            <w:rStyle w:val="Lienhypertexte"/>
            <w:rFonts w:ascii="Arial" w:hAnsi="Arial" w:cs="Arial"/>
          </w:rPr>
          <w:t>cliquer ici</w:t>
        </w:r>
      </w:hyperlink>
      <w:bookmarkStart w:id="0" w:name="_GoBack"/>
      <w:bookmarkEnd w:id="0"/>
      <w:r>
        <w:rPr>
          <w:rFonts w:ascii="Arial" w:hAnsi="Arial" w:cs="Arial"/>
        </w:rPr>
        <w:t>.</w:t>
      </w:r>
    </w:p>
    <w:sectPr w:rsidR="008C6A63" w:rsidRPr="00013020" w:rsidSect="009B4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683"/>
    <w:rsid w:val="00013020"/>
    <w:rsid w:val="00115C1B"/>
    <w:rsid w:val="00185EA2"/>
    <w:rsid w:val="003A5E35"/>
    <w:rsid w:val="004C1C85"/>
    <w:rsid w:val="00511890"/>
    <w:rsid w:val="00544D8D"/>
    <w:rsid w:val="006F1FC5"/>
    <w:rsid w:val="007F156F"/>
    <w:rsid w:val="008A643A"/>
    <w:rsid w:val="008C6A63"/>
    <w:rsid w:val="009A04EF"/>
    <w:rsid w:val="009B4683"/>
    <w:rsid w:val="00AE2B61"/>
    <w:rsid w:val="00B50E06"/>
    <w:rsid w:val="00B9358E"/>
    <w:rsid w:val="00BA1C61"/>
    <w:rsid w:val="00C762F8"/>
    <w:rsid w:val="00D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basedOn w:val="TableauNormal"/>
    <w:uiPriority w:val="40"/>
    <w:rsid w:val="009B4683"/>
    <w:pPr>
      <w:spacing w:before="200"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15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rxPt75bU6r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SIMON</dc:creator>
  <cp:lastModifiedBy>Windows User</cp:lastModifiedBy>
  <cp:revision>2</cp:revision>
  <dcterms:created xsi:type="dcterms:W3CDTF">2013-02-24T12:24:00Z</dcterms:created>
  <dcterms:modified xsi:type="dcterms:W3CDTF">2013-02-24T12:24:00Z</dcterms:modified>
</cp:coreProperties>
</file>